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50" w:afterAutospacing="0"/>
        <w:ind w:left="0" w:right="0" w:firstLine="0"/>
        <w:textAlignment w:val="center"/>
        <w:rPr>
          <w:rFonts w:ascii="Arial" w:hAnsi="Arial" w:cs="Arial"/>
          <w:b/>
          <w:i w:val="0"/>
          <w:caps w:val="0"/>
          <w:color w:val="333333"/>
          <w:spacing w:val="0"/>
          <w:sz w:val="33"/>
          <w:szCs w:val="33"/>
        </w:rPr>
      </w:pPr>
      <w:r>
        <w:rPr>
          <w:rFonts w:hint="default" w:ascii="Arial" w:hAnsi="Arial" w:cs="Arial"/>
          <w:b/>
          <w:i w:val="0"/>
          <w:caps w:val="0"/>
          <w:color w:val="333333"/>
          <w:spacing w:val="0"/>
          <w:sz w:val="33"/>
          <w:szCs w:val="33"/>
          <w:bdr w:val="none" w:color="auto" w:sz="0" w:space="0"/>
        </w:rPr>
        <w:t>插画家W王小琦Q原画作品赏析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链接：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"http://gad.qq.com/article/detail/286155" </w:instrText>
      </w:r>
      <w:r>
        <w:rPr>
          <w:rFonts w:hint="eastAsia"/>
          <w:lang w:eastAsia="zh-CN"/>
        </w:rPr>
        <w:fldChar w:fldCharType="separate"/>
      </w:r>
      <w:r>
        <w:rPr>
          <w:rStyle w:val="4"/>
          <w:rFonts w:hint="eastAsia"/>
          <w:lang w:eastAsia="zh-CN"/>
        </w:rPr>
        <w:t>http://gad.qq.com/article/detail/286155</w:t>
      </w:r>
      <w:r>
        <w:rPr>
          <w:rFonts w:hint="eastAsia"/>
          <w:lang w:eastAsia="zh-CN"/>
        </w:rPr>
        <w:fldChar w:fldCharType="end"/>
      </w:r>
    </w:p>
    <w:p>
      <w:pPr>
        <w:rPr>
          <w:rFonts w:hint="eastAsia"/>
          <w:lang w:eastAsia="zh-CN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kern w:val="0"/>
          <w:sz w:val="24"/>
          <w:szCs w:val="24"/>
          <w:shd w:val="clear" w:fill="FFFFFF"/>
          <w:lang w:val="en-US" w:eastAsia="zh-CN" w:bidi="ar"/>
        </w:rPr>
        <w:t>王琦（微博名：W王小琦Q），艺数绘讲师，拥有15年传统绘画经验，4年CG绘画经验。擅长欧美写实概念气氛图，曾就职于游戏研发公司，游戏外包公司 。曾参与的项目有：《刺客信条》、《乱斗西游》、《天魔劫》、《龙族》、《真三国无双》、《镇魂街》等。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bookmarkStart w:id="0" w:name="_GoBack"/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00040" cy="6657975"/>
            <wp:effectExtent l="0" t="0" r="10160" b="9525"/>
            <wp:docPr id="3" name="图片 1" descr="插画家W王小琦Q原画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插画家W王小琦Q原画作品赏析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5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872740"/>
            <wp:effectExtent l="0" t="0" r="10160" b="3810"/>
            <wp:docPr id="2" name="图片 2" descr="插画家W王小琦Q原画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插画家W王小琦Q原画作品赏析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959100"/>
            <wp:effectExtent l="0" t="0" r="10160" b="12700"/>
            <wp:docPr id="1" name="图片 3" descr="插画家W王小琦Q原画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 descr="插画家W王小琦Q原画作品赏析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7862570"/>
            <wp:effectExtent l="0" t="0" r="10160" b="5080"/>
            <wp:docPr id="6" name="图片 4" descr="插画家W王小琦Q原画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插画家W王小琦Q原画作品赏析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62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7484745"/>
            <wp:effectExtent l="0" t="0" r="10160" b="1905"/>
            <wp:docPr id="9" name="图片 5" descr="插画家W王小琦Q原画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 descr="插画家W王小琦Q原画作品赏析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84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7716520"/>
            <wp:effectExtent l="0" t="0" r="10160" b="17780"/>
            <wp:docPr id="4" name="图片 6" descr="插画家W王小琦Q原画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 descr="插画家W王小琦Q原画作品赏析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16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434715"/>
            <wp:effectExtent l="0" t="0" r="10160" b="13335"/>
            <wp:docPr id="8" name="图片 7" descr="插画家W王小琦Q原画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 descr="插画家W王小琦Q原画作品赏析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8969375"/>
            <wp:effectExtent l="0" t="0" r="10160" b="3175"/>
            <wp:docPr id="5" name="图片 8" descr="插画家W王小琦Q原画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8" descr="插画家W王小琦Q原画作品赏析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6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6247765"/>
            <wp:effectExtent l="0" t="0" r="10160" b="635"/>
            <wp:docPr id="7" name="图片 9" descr="插画家W王小琦Q原画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9" descr="插画家W王小琦Q原画作品赏析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4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2142AB0"/>
    <w:rsid w:val="10F16589"/>
    <w:rsid w:val="6D535020"/>
    <w:rsid w:val="72142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_wwqwang\AppData\Roaming\Kingsoft\wps\addons\pool\win-i386\knewfileruby_1.0.0.12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2018-10-22T07:17:00Z</dcterms:created>
  <dc:creator>王蔷</dc:creator>
  <cp:lastModifiedBy>王蔷</cp:lastModifiedBy>
  <dcterms:modified xsi:type="dcterms:W3CDTF">2018-10-22T07:19:39Z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